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6B8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ул. Молодёжная д. 10, 10а, 10в, 12а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66B8">
        <w:rPr>
          <w:rFonts w:ascii="Times New Roman" w:hAnsi="Times New Roman" w:cs="Times New Roman"/>
          <w:b/>
          <w:i/>
          <w:sz w:val="24"/>
          <w:szCs w:val="24"/>
          <w:u w:val="single"/>
        </w:rPr>
        <w:t>6.8.1. Благоустройство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6B8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3D66B8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-Устройство оснований толщиной 15 см из щебня фракции 40-70 мм при укатке каменных материалов с пределом прочности на сжатие до 68,6 МПа (700 кгс/см²) однослойных;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-Розлив вяжущих материалов;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-Устройство покрытия толщиной 5 см из горячих асфальтобетонных смесей плотных мелкозернистых типа АБВ, плотность каменных материалов 2,5-2,9 т/м3;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-Устройство оснований толщиной 6 см под тротуары из кирпичного или известнякового щебня;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-Устройство асфальтобетонных покрытий дорожек и тротуаров однослойных из литой мелкозернистой </w:t>
      </w:r>
      <w:proofErr w:type="spellStart"/>
      <w:r w:rsidRPr="003D66B8">
        <w:rPr>
          <w:rFonts w:ascii="Times New Roman" w:hAnsi="Times New Roman" w:cs="Times New Roman"/>
          <w:sz w:val="24"/>
          <w:szCs w:val="24"/>
        </w:rPr>
        <w:t>асфальто</w:t>
      </w:r>
      <w:proofErr w:type="spellEnd"/>
      <w:r w:rsidRPr="003D66B8">
        <w:rPr>
          <w:rFonts w:ascii="Times New Roman" w:hAnsi="Times New Roman" w:cs="Times New Roman"/>
          <w:sz w:val="24"/>
          <w:szCs w:val="24"/>
        </w:rPr>
        <w:t>-бетонной смеси толщиной 4 см.;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-Установка тротуарных бортовых камней бетонных при других видах покрытий;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-Устройство бетонной подготовки;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 из песка.</w:t>
      </w:r>
    </w:p>
    <w:p w:rsidR="003D66B8" w:rsidRPr="003D66B8" w:rsidRDefault="003D66B8" w:rsidP="003D66B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66B8">
        <w:rPr>
          <w:rFonts w:ascii="Times New Roman" w:hAnsi="Times New Roman" w:cs="Times New Roman"/>
          <w:b/>
          <w:i/>
          <w:sz w:val="24"/>
          <w:szCs w:val="24"/>
          <w:u w:val="single"/>
        </w:rPr>
        <w:t>6.8.2.Освещение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1.Основные характеристики объекта наружного освещения. 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 1.1. Дворовая территория, подлежащая оборудованию наружным освещением – пешеходная зона и игровая площадка, расположенные  между  многоквартирными жилыми домами. Движение автотранспорта в зоне планируемого наружного освещения  отсутствует.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2. Основные  характеристики планируемой линии наружного освещения.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2.1. Общая схема  освещения – светильник в кол-ве 1 шт. на столбовой опоре СКЦ-11-2,5. Кронштейн светильника – металлический </w:t>
      </w:r>
      <w:proofErr w:type="spellStart"/>
      <w:r w:rsidRPr="003D66B8">
        <w:rPr>
          <w:rFonts w:ascii="Times New Roman" w:hAnsi="Times New Roman" w:cs="Times New Roman"/>
          <w:sz w:val="24"/>
          <w:szCs w:val="24"/>
        </w:rPr>
        <w:t>однорожковый</w:t>
      </w:r>
      <w:proofErr w:type="spellEnd"/>
      <w:r w:rsidRPr="003D66B8">
        <w:rPr>
          <w:rFonts w:ascii="Times New Roman" w:hAnsi="Times New Roman" w:cs="Times New Roman"/>
          <w:sz w:val="24"/>
          <w:szCs w:val="24"/>
        </w:rPr>
        <w:t xml:space="preserve"> с углом рожка к горизонту 3-5 град. 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2.2.Светильник типа ЖКУ-150, лампа газоразрядная </w:t>
      </w:r>
      <w:proofErr w:type="spellStart"/>
      <w:r w:rsidRPr="003D66B8">
        <w:rPr>
          <w:rFonts w:ascii="Times New Roman" w:hAnsi="Times New Roman" w:cs="Times New Roman"/>
          <w:sz w:val="24"/>
          <w:szCs w:val="24"/>
        </w:rPr>
        <w:t>ДНаТ</w:t>
      </w:r>
      <w:proofErr w:type="spellEnd"/>
      <w:r w:rsidRPr="003D66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2.3. Электроснабжение светильника выполнить проводом СИП по однофазной схеме от жилого дома. 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2.4. Точку присоединения согласовать с управляющей компанией.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2.5. Для управления включением освещения, учета  потребляемой электрической энергии, защиты от коротких замыканий и перегрузок установить металлический запираемый шкаф ШУНО со встроенными приборами учета электрической энергии и аппаратами защиты от перегрузок, грозовых перенапряжений и защитного отключения (УЗО).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2.6. Монтаж световой опоры выполнить с оформлением земляных работ и их согласованием с владельцами инженерных коммуникаций в данном районе. 2.7. Окончательное техническое решение по архитектуре освещения в т. ч. марку светильника согласовать с заказчиком.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66B8">
        <w:rPr>
          <w:rFonts w:ascii="Times New Roman" w:hAnsi="Times New Roman" w:cs="Times New Roman"/>
          <w:b/>
          <w:i/>
          <w:sz w:val="24"/>
          <w:szCs w:val="24"/>
          <w:u w:val="single"/>
        </w:rPr>
        <w:t>6.8.3.Корт, детская и спортивная площадки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 Устройство покрытия корта спортивного, толщиной 6,3 мм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119"/>
        <w:gridCol w:w="1417"/>
        <w:gridCol w:w="1393"/>
        <w:gridCol w:w="2647"/>
      </w:tblGrid>
      <w:tr w:rsidR="003D66B8" w:rsidRPr="003D66B8" w:rsidTr="007D1024">
        <w:tc>
          <w:tcPr>
            <w:tcW w:w="709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417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47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3D66B8" w:rsidRPr="003D66B8" w:rsidTr="007D1024">
        <w:tc>
          <w:tcPr>
            <w:tcW w:w="709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спортивное </w:t>
            </w:r>
          </w:p>
        </w:tc>
        <w:tc>
          <w:tcPr>
            <w:tcW w:w="1417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393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204,00 </w:t>
            </w:r>
          </w:p>
        </w:tc>
        <w:tc>
          <w:tcPr>
            <w:tcW w:w="2647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1C05A" wp14:editId="33DCF245">
                  <wp:extent cx="1028702" cy="771525"/>
                  <wp:effectExtent l="0" t="0" r="0" b="0"/>
                  <wp:docPr id="1" name="Рисунок 1" descr="http://www.kz.all.biz/img/kz/catalog/757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z.all.biz/img/kz/catalog/7571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52" cy="77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lastRenderedPageBreak/>
        <w:t>- Установка ограждения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990"/>
        <w:gridCol w:w="1701"/>
        <w:gridCol w:w="1888"/>
        <w:gridCol w:w="2545"/>
      </w:tblGrid>
      <w:tr w:rsidR="003D66B8" w:rsidRPr="003D66B8" w:rsidTr="007D1024">
        <w:tc>
          <w:tcPr>
            <w:tcW w:w="696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90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701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45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3D66B8" w:rsidRPr="003D66B8" w:rsidTr="007D1024">
        <w:tc>
          <w:tcPr>
            <w:tcW w:w="696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 с калиткой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192,50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53AB7" wp14:editId="4B7A7611">
                  <wp:extent cx="723900" cy="838700"/>
                  <wp:effectExtent l="0" t="0" r="0" b="0"/>
                  <wp:docPr id="2" name="Рисунок 2" descr="\\Obmen\обмен\экономисты\ДВОРЫ\Ленина,4,4а;Ситнова,2,4,6 (нет рисунков огорождения)\панель 3д - с эффек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bmen\обмен\экономисты\ДВОРЫ\Ленина,4,4а;Ситнова,2,4,6 (нет рисунков огорождения)\панель 3д - с эффек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9814" cy="84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 Установка спортивного оборудования</w:t>
      </w:r>
    </w:p>
    <w:tbl>
      <w:tblPr>
        <w:tblW w:w="103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4994"/>
        <w:gridCol w:w="734"/>
        <w:gridCol w:w="791"/>
        <w:gridCol w:w="3291"/>
      </w:tblGrid>
      <w:tr w:rsidR="003D66B8" w:rsidRPr="003D66B8" w:rsidTr="007D1024">
        <w:tc>
          <w:tcPr>
            <w:tcW w:w="535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4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34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791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291" w:type="dxa"/>
            <w:shd w:val="clear" w:color="auto" w:fill="auto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Ворота для мини футбола с баскетбольным кольцом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включает в себя две боковые опоры, две стойки, верхнюю и нижнюю части, держатель щита и баскетбольный щит с кольцом.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1672349" wp14:editId="3CC16795">
                  <wp:extent cx="1066800" cy="12238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6" cy="122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 осуществляется посредством токарного крепления. Гимнастический комплекс включает в себя три стойки,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баскетбольный щит с кольцом, две балки с подвешенными на них стремянкой, гимнастическими кольцами и уличным канатом. Оборудование устанавливается и бетонируется в грунт. Возраст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пользователя от 7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2AFA494" wp14:editId="0749BFB9">
                  <wp:extent cx="1952625" cy="11831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8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комплекс 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сборно-разборную, модульную конструкцию, состоящую из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шести опорных столбов, двух </w:t>
            </w:r>
            <w:proofErr w:type="spellStart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 площадок, одной башней под шатровой крышей, одного лестничного марша, двух перил к лестничному маршу, выполненных в виде металлического каркаса с фанерными экранами, двух скатов горок с высотой стартового участка не менее 950мм и 1200мм, двух снарядов «скалолаз» со стойкой для подъема, одной гимнастической стенки из турников, шеста для спуска с ручками, одного снаряда для подъема «лиана» с перилами, турников. Оборудование устанавливается и бетонируется на оцинкованные металлические подпятники. Возраст пользователя от 5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4CDCA5" wp14:editId="26B987E0">
                  <wp:extent cx="1357973" cy="1257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7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Качалка-балансир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 включает в себя основание, крутящийся механизм, балансир, два сидения, две спинки и две демпфирующие резины. Качалка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устанавливается и бетонируется в грунт. Возраст пользователя от 3 до 12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69E5F5D" wp14:editId="74BD3518">
                  <wp:extent cx="1200150" cy="5215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2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>Карусель круговая с рулем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Сборно-разборная металлическая конструкция с шестью полами, рулем, перилами и тремя сидениями. Карусель устанавливается и бетонируется в грунт при помощи основания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для бетонирования. Возраст пользователя от 3 до 12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9AAD068" wp14:editId="4909F4D5">
                  <wp:extent cx="1058110" cy="73342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оборудование 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включает в себя две опоры и двое брусьев. Оборудование устанавливается и бетонируется в грунт. Возраст пользователя от 10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E025B0F" wp14:editId="5B6C1375">
                  <wp:extent cx="1295400" cy="1295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Уличный тренажер 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Тренажер включает в себя две опоры,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ручку-держатель и два рычага с платформами. Оборудование устанавливается и бетонируется при помощи двух оснований для бетонирования. Возраст пользователя от 14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C335481" wp14:editId="383DD35F">
                  <wp:extent cx="805075" cy="1076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182" cy="10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Уличный тренажер 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Тренажер включает в себя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основную опору, два передних рычага с ручками, два рычага задние, среднюю и боковые опоры с платформами. Оборудование устанавливается и бетонируется при помощи оснований для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бетонирования. Возраст пользователя от 14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6E2BCAD" wp14:editId="336D1888">
                  <wp:extent cx="845060" cy="1571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6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B8" w:rsidRPr="003D66B8" w:rsidTr="007D1024">
        <w:tc>
          <w:tcPr>
            <w:tcW w:w="535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4" w:type="dxa"/>
            <w:shd w:val="clear" w:color="auto" w:fill="auto"/>
            <w:vAlign w:val="center"/>
          </w:tcPr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Горка 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Сборно-разборная конструкция, состоящая из шести опорных столбов, пола, двух ограждений, выполненных в виде металлического каркаса с фанерными экранами, одного ската горки с высотой стартового участка не менее 1450мм, одного лестничного марша с </w:t>
            </w:r>
            <w:proofErr w:type="spellStart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двумяперилами</w:t>
            </w:r>
            <w:proofErr w:type="spellEnd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, выполненными в виде металлического каркаса с фанерными экранами, распорных </w:t>
            </w:r>
            <w:proofErr w:type="spellStart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турников,двух</w:t>
            </w:r>
            <w:proofErr w:type="spellEnd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ограждений стартовой площадки с турником-ограничителем. На вершины </w:t>
            </w:r>
            <w:proofErr w:type="spellStart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столбовустанавливаются</w:t>
            </w:r>
            <w:proofErr w:type="spellEnd"/>
            <w:r w:rsidRPr="003D66B8">
              <w:rPr>
                <w:rFonts w:ascii="Times New Roman" w:hAnsi="Times New Roman" w:cs="Times New Roman"/>
                <w:sz w:val="24"/>
                <w:szCs w:val="24"/>
              </w:rPr>
              <w:t xml:space="preserve"> пластиковые заглушки. Оборудование </w:t>
            </w:r>
            <w:r w:rsidRPr="003D6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устанавливается и бетонируется на</w:t>
            </w:r>
          </w:p>
          <w:p w:rsidR="003D66B8" w:rsidRPr="003D66B8" w:rsidRDefault="003D66B8" w:rsidP="003D6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оцинкованные металлические подпятники. Возраст пользователя от 6 лет.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3D66B8" w:rsidRPr="003D66B8" w:rsidRDefault="003D66B8" w:rsidP="003D66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D66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B52F185" wp14:editId="38086C89">
                  <wp:extent cx="1100709" cy="68580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0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66B8">
        <w:rPr>
          <w:rFonts w:ascii="Times New Roman" w:hAnsi="Times New Roman" w:cs="Times New Roman"/>
          <w:b/>
          <w:i/>
          <w:sz w:val="24"/>
          <w:szCs w:val="24"/>
          <w:u w:val="single"/>
        </w:rPr>
        <w:t>6.8.4.Установка МАФ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1)Скамья, в количестве 4 штуки, в соответствии с эскизом</w:t>
      </w: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D66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3888EE" wp14:editId="31E9DF0A">
            <wp:extent cx="1007732" cy="866775"/>
            <wp:effectExtent l="19050" t="0" r="191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93" cy="8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-Скамья имеет сборную конструкцию и включает в себя две опоры, крепления досок и сидение;</w:t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крепления; </w:t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-Скамья устанавливается на ровную твердую поверхность.</w:t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D66B8" w:rsidRPr="003D66B8" w:rsidRDefault="003D66B8" w:rsidP="003D66B8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3D66B8">
        <w:rPr>
          <w:rFonts w:ascii="Times New Roman" w:hAnsi="Times New Roman" w:cs="Times New Roman"/>
          <w:sz w:val="24"/>
          <w:szCs w:val="24"/>
        </w:rPr>
        <w:t>2)</w:t>
      </w:r>
      <w:r w:rsidRPr="003D66B8">
        <w:rPr>
          <w:rFonts w:ascii="Times New Roman" w:hAnsi="Times New Roman" w:cs="Times New Roman"/>
          <w:kern w:val="3"/>
          <w:sz w:val="24"/>
          <w:szCs w:val="24"/>
          <w:lang w:bidi="hi-IN"/>
        </w:rPr>
        <w:t xml:space="preserve"> Урна, в количестве 2 штук, в соответствии с эскизом:</w:t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D66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1E4E88" wp14:editId="49B7B7AF">
            <wp:extent cx="619822" cy="1076325"/>
            <wp:effectExtent l="19050" t="0" r="882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7" cy="10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 и включает в себя опору и короб. Короб имеет радиальное вращение на опоре, для упрощения извлечения мусора. </w:t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-Короб выполнен из листового металла</w:t>
      </w:r>
    </w:p>
    <w:p w:rsidR="003D66B8" w:rsidRPr="003D66B8" w:rsidRDefault="003D66B8" w:rsidP="003D6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6B8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750A11" w:rsidRDefault="00750A11">
      <w:bookmarkStart w:id="0" w:name="_GoBack"/>
      <w:bookmarkEnd w:id="0"/>
    </w:p>
    <w:sectPr w:rsidR="0075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6B8"/>
    <w:rsid w:val="003D66B8"/>
    <w:rsid w:val="0075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2017-09-11T08:30:00Z</dcterms:created>
  <dcterms:modified xsi:type="dcterms:W3CDTF">2017-09-11T08:30:00Z</dcterms:modified>
</cp:coreProperties>
</file>